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sther-1"/>
    <w:p>
      <w:pPr>
        <w:pStyle w:val="Heading1"/>
      </w:pPr>
      <w:r>
        <w:t xml:space="preserve">Homiletics Analysis: Esther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Esther 1 opens the book with an extended court scene at the Persian capital of Susa, where King Ahasuerus (Xerxes I, c. 486–465 BC) hosts an extravagant six-month display of imperial wealth and power, culminating in a seven-day public banquet for all the men of the citadel. On the final day, drunk with wine, Ahasuerus commands his queen, Vashti, to appear before the assembled guests wearing her royal crown — a command widely understood as a public display of her beauty for the pleasure of the court. Vashti refuses. The king’s rage at this public humiliation sets off a cascade of royal consultation: his advisors, alarmed that Vashti’s refusal will destabilize household authority across the empire, counsel that she be deposed and replaced. Ahasuerus complies, Vashti is removed from her position, and royal edicts are dispatched across the provinces mandating male authority in every household. The chapter ends with the stage set for a replacement queen to be sought — positioning what follows narratively but leaving God entirely unmentioned.</w:t>
      </w:r>
    </w:p>
    <w:p>
      <w:pPr>
        <w:pStyle w:val="BodyText"/>
      </w:pPr>
      <w:r>
        <w:t xml:space="preserve">The governing irony of the chapter is conspicuous: the most powerful man in the world, commanding an empire from India to Ethiopia, cannot command his own wife. He rules 127 provinces but cannot rule his own household. His counselors govern him; wine governs his judgment; fear of embarrassment governs his policy. Ahasuerus is presented as a man of vast power and zero sovereignty — a throne without true authority.</w:t>
      </w:r>
    </w:p>
    <w:p>
      <w:pPr>
        <w:pStyle w:val="BodyText"/>
      </w:pPr>
      <w:r>
        <w:rPr>
          <w:b/>
          <w:bCs/>
        </w:rPr>
        <w:t xml:space="preserve">This Text — Intent</w:t>
      </w:r>
    </w:p>
    <w:p>
      <w:pPr>
        <w:pStyle w:val="BodyText"/>
      </w:pPr>
      <w:r>
        <w:t xml:space="preserve">God’s intent through this chapter is to expose the instability, emptiness, and ultimate fragility of human power and self-exaltation — and to do so before introducing the storyline in which His own hidden sovereignty will accomplish the preservation of His people. The chapter functions as a theological frame: before the reader sees God work, the reader is shown what human power without God looks like at its apex. The most powerful man in the world is driven by pride, governed by advisors, undone by alcohol, and reduced to issuing empire-wide edicts about domestic squabbles. God is not mentioned — and that absence is not an oversight but a deliberate authorial choice that functions as a claim: the world of Esther 1 is a world operating as if God does not exist, and that world is shown to be absurd, unstable, and self-defeating. The intent is to calibrate the reader’s expectations before the drama unfolds — to say:</w:t>
      </w:r>
      <w:r>
        <w:t xml:space="preserve"> </w:t>
      </w:r>
      <w:r>
        <w:rPr>
          <w:i/>
          <w:iCs/>
        </w:rPr>
        <w:t xml:space="preserve">do not put your trust in princes, in the power of Persia, or in the courts of the earth. Watch what happens when a hidden God moves in a world that has forgotten Him.</w:t>
      </w:r>
    </w:p>
    <w:p>
      <w:r>
        <w:pict>
          <v:rect style="width:0;height:1.5pt" o:hralign="center" o:hrstd="t" o:hr="t"/>
        </w:pict>
      </w:r>
    </w:p>
    <w:p>
      <w:pPr>
        <w:pStyle w:val="FirstParagraph"/>
      </w:pPr>
      <w:r>
        <w:rPr>
          <w:b/>
          <w:bCs/>
        </w:rPr>
        <w:t xml:space="preserve">Subject Sentence:</w:t>
      </w:r>
      <w:r>
        <w:t xml:space="preserve"> </w:t>
      </w:r>
      <w:r>
        <w:t xml:space="preserve">Human power at its peak reveals its own absurdity and instability.</w:t>
      </w:r>
    </w:p>
    <w:p>
      <w:r>
        <w:pict>
          <v:rect style="width:0;height:1.5pt" o:hralign="center" o:hrstd="t" o:hr="t"/>
        </w:pict>
      </w:r>
    </w:p>
    <w:p>
      <w:pPr>
        <w:pStyle w:val="FirstParagraph"/>
      </w:pPr>
      <w:r>
        <w:rPr>
          <w:b/>
          <w:bCs/>
        </w:rPr>
        <w:t xml:space="preserve">Primary Claim:</w:t>
      </w:r>
      <w:r>
        <w:t xml:space="preserve"> </w:t>
      </w:r>
      <w:r>
        <w:t xml:space="preserve">God opens the story of Esther by exposing the hollow theater of human sovereignty — the most powerful man on earth is enslaved to pride, wine, and fear — so that when His own hidden sovereignty moves, the contrast is unmistakable and the reader knows where true power lives.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Vashti’s refusal</w:t>
      </w:r>
      <w:r>
        <w:t xml:space="preserve">: Interpretive traditions diverge on whether Vashti is a sympathetic figure — a woman of dignity refusing degradation — or a proud rebel whose refusal parallels the broader theme of human self-assertion. Some readers, particularly in feminist and social-justice hermeneutical frameworks, read Vashti as the moral hero of chapter 1: a woman of courage and dignity who refuses to be objectified, making her deposition a critique of patriarchal power. This reading should be</w:t>
      </w:r>
      <w:r>
        <w:t xml:space="preserve"> </w:t>
      </w:r>
      <w:r>
        <w:rPr>
          <w:i/>
          <w:iCs/>
        </w:rPr>
        <w:t xml:space="preserve">acknowledged</w:t>
      </w:r>
      <w:r>
        <w:t xml:space="preserve"> </w:t>
      </w:r>
      <w:r>
        <w:t xml:space="preserve">for a genuine insight: the text does not explicitly condemn Vashti, and the command to appear</w:t>
      </w:r>
      <w:r>
        <w:t xml:space="preserve"> </w:t>
      </w:r>
      <w:r>
        <w:t xml:space="preserve">“wearing her royal crown”</w:t>
      </w:r>
      <w:r>
        <w:t xml:space="preserve"> </w:t>
      </w:r>
      <w:r>
        <w:t xml:space="preserve">almost certainly carried exhibitionist overtones the author intends the reader to find unseemly. Vashti’s refusal is narrated without editorial condemnation.</w:t>
      </w:r>
    </w:p>
    <w:p>
      <w:pPr>
        <w:pStyle w:val="BodyText"/>
      </w:pPr>
      <w:r>
        <w:t xml:space="preserve">However, this reading should be</w:t>
      </w:r>
      <w:r>
        <w:t xml:space="preserve"> </w:t>
      </w:r>
      <w:r>
        <w:rPr>
          <w:i/>
          <w:iCs/>
        </w:rPr>
        <w:t xml:space="preserve">qualified</w:t>
      </w:r>
      <w:r>
        <w:t xml:space="preserve"> </w:t>
      </w:r>
      <w:r>
        <w:t xml:space="preserve">significantly. The text offers no grounds for elevating Vashti to hero status. She simply disappears from the narrative after verse 19 — a non-character whose primary function is to be absent, creating the vacancy Esther will fill. The story is not interested in vindicating Vashti. More critically, the feminist reading cannot be sustained canonically: it imports a social-justice framework that the text itself does not carry. Vashti’s refusal is not presented as courageous defiance — it is presented as one more example of a Persian court in which</w:t>
      </w:r>
      <w:r>
        <w:t xml:space="preserve"> </w:t>
      </w:r>
      <w:r>
        <w:rPr>
          <w:i/>
          <w:iCs/>
        </w:rPr>
        <w:t xml:space="preserve">everyone</w:t>
      </w:r>
      <w:r>
        <w:t xml:space="preserve"> </w:t>
      </w:r>
      <w:r>
        <w:t xml:space="preserve">acts according to self-interest and pride. Vashti’s refusal, Ahasuerus’s rage, and the advisors’ alarm are all of a piece: human pride meeting human pride, producing chaos. The Reformed reading treats Vashti neither as villain nor hero but as a narrative catalyst — her refusal is a plot mechanism that functions within the chapter’s broader exposure of human power’s instability.</w:t>
      </w:r>
    </w:p>
    <w:p>
      <w:pPr>
        <w:pStyle w:val="BodyText"/>
      </w:pPr>
      <w:r>
        <w:rPr>
          <w:b/>
          <w:bCs/>
        </w:rPr>
        <w:t xml:space="preserve">The absence of God</w:t>
      </w:r>
      <w:r>
        <w:t xml:space="preserve">: Some traditions — particularly those emphasizing the historical-narrative genre — treat Esther as essentially a secular story about Jewish survival in diaspora, with theological content that is implicit at best. Against this, the Reformed tradition reads the absence of God’s name as an intentional theological device, not an indication of theological vacuity. The absence of God in Esther 1 is loud precisely</w:t>
      </w:r>
      <w:r>
        <w:t xml:space="preserve"> </w:t>
      </w:r>
      <w:r>
        <w:rPr>
          <w:i/>
          <w:iCs/>
        </w:rPr>
        <w:t xml:space="preserve">because</w:t>
      </w:r>
      <w:r>
        <w:t xml:space="preserve"> </w:t>
      </w:r>
      <w:r>
        <w:t xml:space="preserve">the rest of the canon trains the reader to expect God’s presence. The silence is itself a statement:</w:t>
      </w:r>
      <w:r>
        <w:t xml:space="preserve"> </w:t>
      </w:r>
      <w:r>
        <w:rPr>
          <w:i/>
          <w:iCs/>
        </w:rPr>
        <w:t xml:space="preserve">this is what the world looks like when it operates as though God is not there.</w:t>
      </w:r>
      <w:r>
        <w:t xml:space="preserve"> </w:t>
      </w:r>
      <w:r>
        <w:t xml:space="preserve">The hiddenness of God is a canonical motif (cf. Deuteronomy 31:17–18; Isaiah 45:15) — and Esther is its most extended literary expression. The Reformed reading holds this: God’s absence from the text of Esther 1 is not his absence from the events of Esther 1.</w:t>
      </w:r>
    </w:p>
    <w:p>
      <w:pPr>
        <w:pStyle w:val="BodyText"/>
      </w:pPr>
      <w:r>
        <w:rPr>
          <w:b/>
          <w:bCs/>
        </w:rPr>
        <w:t xml:space="preserve">The edict regarding household authority (vv. 20–22)</w:t>
      </w:r>
      <w:r>
        <w:t xml:space="preserve">: Some readers — particularly those focused on the book’s social or cultural dimensions — treat the closing edict as the chapter’s punchline: a comedy of imperial overreach reducing the world’s greatest empire to legislating bedroom authority. This is not wrong, but it is incomplete. The Reformed reading goes further: the edict is not merely comic but revelatory. It shows that human power, when threatened, reaches for control rather than wisdom. The most powerful king in the world responds to a domestic refusal not with self-examination but with empire-wide law. This is precisely the pattern of idolatrous power — it cannot bear to be questioned, it cannot self-correct, and it cannot govern its own house.</w:t>
      </w:r>
    </w:p>
    <w:p>
      <w:pPr>
        <w:pStyle w:val="BodyText"/>
      </w:pPr>
      <w:r>
        <w:rPr>
          <w:b/>
          <w:bCs/>
        </w:rPr>
        <w:t xml:space="preserve">The Reformed verdict</w:t>
      </w:r>
      <w:r>
        <w:t xml:space="preserve">: The text of Esther 1 is a sustained, ironic exposure of human sovereignty’s hollowness. God is not mentioned because the world of Susa operates without Him — and the narrative shows that world to be ungovernable, absurd, and self-defeating. This reading best accounts for the chapter’s literary structure (the ironic contrast between imperial display and domestic humiliation), its canonical context (Esther as a diaspora narrative about God’s hidden providence), and its theological function (setting up the contrast between human and divine sovereignty that runs through the book).</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2:1–4</w:t>
      </w:r>
      <w:r>
        <w:t xml:space="preserve"> </w:t>
      </w:r>
      <w:r>
        <w:t xml:space="preserve">— The nations rage and the kings of the earth take counsel together; God laughs. Ahasuerus’s imperial theater is precisely the kind of human self-assertion Psalm 2 exposes as comic and temporary before God’s sovereign purposes.</w:t>
      </w:r>
    </w:p>
    <w:p>
      <w:pPr>
        <w:numPr>
          <w:ilvl w:val="0"/>
          <w:numId w:val="1001"/>
        </w:numPr>
      </w:pPr>
      <w:r>
        <w:rPr>
          <w:b/>
          <w:bCs/>
        </w:rPr>
        <w:t xml:space="preserve">Psalm 33:10–11</w:t>
      </w:r>
      <w:r>
        <w:t xml:space="preserve"> </w:t>
      </w:r>
      <w:r>
        <w:t xml:space="preserve">—</w:t>
      </w:r>
      <w:r>
        <w:t xml:space="preserve"> </w:t>
      </w:r>
      <w:r>
        <w:t xml:space="preserve">“The LORD brings the counsel of the nations to nothing; he frustrates the plans of the peoples. The counsel of the LORD stands forever.”</w:t>
      </w:r>
      <w:r>
        <w:t xml:space="preserve"> </w:t>
      </w:r>
      <w:r>
        <w:t xml:space="preserve">The counselors of Ahasuerus issue edicts and draft laws; the text’s irony is that none of it will accomplish what they intend.</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Ahasuerus’s heart is turned by wine, by rage, and by advisors — the antithesis of this proverb, and the implicit setup for the LORD to turn it where He wills in chapters 6–7.</w:t>
      </w:r>
    </w:p>
    <w:p>
      <w:pPr>
        <w:numPr>
          <w:ilvl w:val="0"/>
          <w:numId w:val="1001"/>
        </w:numPr>
      </w:pPr>
      <w:r>
        <w:rPr>
          <w:b/>
          <w:bCs/>
        </w:rPr>
        <w:t xml:space="preserve">Daniel 4:28–37</w:t>
      </w:r>
      <w:r>
        <w:t xml:space="preserve"> </w:t>
      </w:r>
      <w:r>
        <w:t xml:space="preserve">— Nebuchadnezzar’s humiliation after his own declaration of imperial greatness (</w:t>
      </w:r>
      <w:r>
        <w:t xml:space="preserve">“Is not this great Babylon, which I have built…?”</w:t>
      </w:r>
      <w:r>
        <w:t xml:space="preserve">) provides the closest canonical parallel: God bringing down the proud king to demonstrate that</w:t>
      </w:r>
      <w:r>
        <w:t xml:space="preserve"> </w:t>
      </w:r>
      <w:r>
        <w:t xml:space="preserve">“the Most High rules the kingdom of men.”</w:t>
      </w:r>
      <w:r>
        <w:t xml:space="preserve"> </w:t>
      </w:r>
      <w:r>
        <w:t xml:space="preserve">Ahasuerus is not brought down in Esther 1, but the same pattern of pride-before-exposure is present.</w:t>
      </w:r>
    </w:p>
    <w:p>
      <w:pPr>
        <w:numPr>
          <w:ilvl w:val="0"/>
          <w:numId w:val="1001"/>
        </w:numPr>
      </w:pPr>
      <w:r>
        <w:rPr>
          <w:b/>
          <w:bCs/>
        </w:rPr>
        <w:t xml:space="preserve">Isaiah 40:23–24</w:t>
      </w:r>
      <w:r>
        <w:t xml:space="preserve"> </w:t>
      </w:r>
      <w:r>
        <w:t xml:space="preserve">—</w:t>
      </w:r>
      <w:r>
        <w:t xml:space="preserve"> </w:t>
      </w:r>
      <w:r>
        <w:t xml:space="preserve">“He brings princes to nothing and makes the rulers of the earth as emptiness… he blows on them, and they wither.”</w:t>
      </w:r>
      <w:r>
        <w:t xml:space="preserve"> </w:t>
      </w:r>
      <w:r>
        <w:t xml:space="preserve">The extravagance of Esther 1 — 180 days of display, gold and silver couches, wine without limit — withers to a domestic quarrel.</w:t>
      </w:r>
    </w:p>
    <w:p>
      <w:r>
        <w:pict>
          <v:rect style="width:0;height:1.5pt" o:hralign="center" o:hrstd="t" o:hr="t"/>
        </w:pict>
      </w:r>
    </w:p>
    <w:p>
      <w:pPr>
        <w:pStyle w:val="FirstParagraph"/>
      </w:pPr>
      <w:r>
        <w:rPr>
          <w:b/>
          <w:bCs/>
        </w:rPr>
        <w:t xml:space="preserve">Aim:</w:t>
      </w:r>
      <w:r>
        <w:t xml:space="preserve"> </w:t>
      </w:r>
      <w:r>
        <w:t xml:space="preserve">To show from the opening chapter of Esther that human power at its most spectacular is self-defeating and ungovernable — and to position the reader to recognize God’s hidden sovereignty as the only stable ground in a world that has forgotten Him.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Introduction: Ahasuerus reigns over 127 provinces from Susa</w:t>
            </w:r>
          </w:p>
        </w:tc>
        <w:tc>
          <w:tcPr/>
          <w:p>
            <w:pPr>
              <w:pStyle w:val="Compact"/>
            </w:pPr>
            <w:r>
              <w:t xml:space="preserve">Imperial scope established; historical context; Susa as seat of power</w:t>
            </w:r>
          </w:p>
        </w:tc>
      </w:tr>
      <w:tr>
        <w:tc>
          <w:tcPr/>
          <w:p>
            <w:pPr>
              <w:pStyle w:val="Compact"/>
            </w:pPr>
            <w:r>
              <w:t xml:space="preserve">3–4</w:t>
            </w:r>
          </w:p>
        </w:tc>
        <w:tc>
          <w:tcPr/>
          <w:p>
            <w:pPr>
              <w:pStyle w:val="Compact"/>
            </w:pPr>
            <w:r>
              <w:t xml:space="preserve">Ahasuerus hosts a 180-day banquet displaying imperial wealth and glory</w:t>
            </w:r>
          </w:p>
        </w:tc>
        <w:tc>
          <w:tcPr/>
          <w:p>
            <w:pPr>
              <w:pStyle w:val="Compact"/>
            </w:pPr>
            <w:r>
              <w:t xml:space="preserve">Six months of display — the pride of power on full exhibition</w:t>
            </w:r>
          </w:p>
        </w:tc>
      </w:tr>
      <w:tr>
        <w:tc>
          <w:tcPr/>
          <w:p>
            <w:pPr>
              <w:pStyle w:val="Compact"/>
            </w:pPr>
            <w:r>
              <w:t xml:space="preserve">5–8</w:t>
            </w:r>
          </w:p>
        </w:tc>
        <w:tc>
          <w:tcPr/>
          <w:p>
            <w:pPr>
              <w:pStyle w:val="Compact"/>
            </w:pPr>
            <w:r>
              <w:t xml:space="preserve">A seven-day public banquet for all men of Susa; lavish detail — gold, silver, marble, wine without limit</w:t>
            </w:r>
          </w:p>
        </w:tc>
        <w:tc>
          <w:tcPr/>
          <w:p>
            <w:pPr>
              <w:pStyle w:val="Compact"/>
            </w:pPr>
            <w:r>
              <w:t xml:space="preserve">The extravagance is almost satirical;</w:t>
            </w:r>
            <w:r>
              <w:t xml:space="preserve"> </w:t>
            </w:r>
            <w:r>
              <w:t xml:space="preserve">“each man could drink as he wished”</w:t>
            </w:r>
            <w:r>
              <w:t xml:space="preserve"> </w:t>
            </w:r>
            <w:r>
              <w:t xml:space="preserve">(v. 8) — no restraint</w:t>
            </w:r>
          </w:p>
        </w:tc>
      </w:tr>
      <w:tr>
        <w:tc>
          <w:tcPr/>
          <w:p>
            <w:pPr>
              <w:pStyle w:val="Compact"/>
            </w:pPr>
            <w:r>
              <w:t xml:space="preserve">9</w:t>
            </w:r>
          </w:p>
        </w:tc>
        <w:tc>
          <w:tcPr/>
          <w:p>
            <w:pPr>
              <w:pStyle w:val="Compact"/>
            </w:pPr>
            <w:r>
              <w:t xml:space="preserve">Queen Vashti holds a separate banquet for the women</w:t>
            </w:r>
          </w:p>
        </w:tc>
        <w:tc>
          <w:tcPr/>
          <w:p>
            <w:pPr>
              <w:pStyle w:val="Compact"/>
            </w:pPr>
            <w:r>
              <w:t xml:space="preserve">Vashti introduced briefly and in parallel — the court is gendered and ordered</w:t>
            </w:r>
          </w:p>
        </w:tc>
      </w:tr>
      <w:tr>
        <w:tc>
          <w:tcPr/>
          <w:p>
            <w:pPr>
              <w:pStyle w:val="Compact"/>
            </w:pPr>
            <w:r>
              <w:t xml:space="preserve">10–12</w:t>
            </w:r>
          </w:p>
        </w:tc>
        <w:tc>
          <w:tcPr/>
          <w:p>
            <w:pPr>
              <w:pStyle w:val="Compact"/>
            </w:pPr>
            <w:r>
              <w:t xml:space="preserve">On day seven, drunk with wine, Ahasuerus commands Vashti to appear in her crown before the guests; Vashti refuses</w:t>
            </w:r>
          </w:p>
        </w:tc>
        <w:tc>
          <w:tcPr/>
          <w:p>
            <w:pPr>
              <w:pStyle w:val="Compact"/>
            </w:pPr>
            <w:r>
              <w:t xml:space="preserve">The pivot of the chapter; the most powerful man in the world is refused by his wife; his rage is immediate</w:t>
            </w:r>
          </w:p>
        </w:tc>
      </w:tr>
      <w:tr>
        <w:tc>
          <w:tcPr/>
          <w:p>
            <w:pPr>
              <w:pStyle w:val="Compact"/>
            </w:pPr>
            <w:r>
              <w:t xml:space="preserve">13–15</w:t>
            </w:r>
          </w:p>
        </w:tc>
        <w:tc>
          <w:tcPr/>
          <w:p>
            <w:pPr>
              <w:pStyle w:val="Compact"/>
            </w:pPr>
            <w:r>
              <w:t xml:space="preserve">Ahasuerus consults his seven advisors according to custom; asks what is to be done with Vashti</w:t>
            </w:r>
          </w:p>
        </w:tc>
        <w:tc>
          <w:tcPr/>
          <w:p>
            <w:pPr>
              <w:pStyle w:val="Compact"/>
            </w:pPr>
            <w:r>
              <w:t xml:space="preserve">The king cannot act independently; he requires counsel; his authority is procedurally constrained</w:t>
            </w:r>
          </w:p>
        </w:tc>
      </w:tr>
      <w:tr>
        <w:tc>
          <w:tcPr/>
          <w:p>
            <w:pPr>
              <w:pStyle w:val="Compact"/>
            </w:pPr>
            <w:r>
              <w:t xml:space="preserve">16–18</w:t>
            </w:r>
          </w:p>
        </w:tc>
        <w:tc>
          <w:tcPr/>
          <w:p>
            <w:pPr>
              <w:pStyle w:val="Compact"/>
            </w:pPr>
            <w:r>
              <w:t xml:space="preserve">Memucan advises that Vashti’s refusal threatens imperial household order; all women will despise their husbands if the queen is not punished</w:t>
            </w:r>
          </w:p>
        </w:tc>
        <w:tc>
          <w:tcPr/>
          <w:p>
            <w:pPr>
              <w:pStyle w:val="Compact"/>
            </w:pPr>
            <w:r>
              <w:t xml:space="preserve">The counselors reveal their own insecurity; the concern is not justice but public honor and social control</w:t>
            </w:r>
          </w:p>
        </w:tc>
      </w:tr>
      <w:tr>
        <w:tc>
          <w:tcPr/>
          <w:p>
            <w:pPr>
              <w:pStyle w:val="Compact"/>
            </w:pPr>
            <w:r>
              <w:t xml:space="preserve">19–20</w:t>
            </w:r>
          </w:p>
        </w:tc>
        <w:tc>
          <w:tcPr/>
          <w:p>
            <w:pPr>
              <w:pStyle w:val="Compact"/>
            </w:pPr>
            <w:r>
              <w:t xml:space="preserve">Memucan recommends a royal decree removing Vashti and replacing her with</w:t>
            </w:r>
            <w:r>
              <w:t xml:space="preserve"> </w:t>
            </w:r>
            <w:r>
              <w:t xml:space="preserve">“someone better”</w:t>
            </w:r>
            <w:r>
              <w:t xml:space="preserve">; the decree to be irrevocable</w:t>
            </w:r>
          </w:p>
        </w:tc>
        <w:tc>
          <w:tcPr/>
          <w:p>
            <w:pPr>
              <w:pStyle w:val="Compact"/>
            </w:pPr>
            <w:r>
              <w:t xml:space="preserve">The irrevocable edict — Persia’s laws cannot be undone; even the king is bound by them (cf. 8:8; Daniel 6)</w:t>
            </w:r>
          </w:p>
        </w:tc>
      </w:tr>
      <w:tr>
        <w:tc>
          <w:tcPr/>
          <w:p>
            <w:pPr>
              <w:pStyle w:val="Compact"/>
            </w:pPr>
            <w:r>
              <w:t xml:space="preserve">21–22</w:t>
            </w:r>
          </w:p>
        </w:tc>
        <w:tc>
          <w:tcPr/>
          <w:p>
            <w:pPr>
              <w:pStyle w:val="Compact"/>
            </w:pPr>
            <w:r>
              <w:t xml:space="preserve">The advice pleases the king; letters sent to all provinces in each people’s language commanding male authority in every household</w:t>
            </w:r>
          </w:p>
        </w:tc>
        <w:tc>
          <w:tcPr/>
          <w:p>
            <w:pPr>
              <w:pStyle w:val="Compact"/>
            </w:pPr>
            <w:r>
              <w:t xml:space="preserve">The punchline: an empire-wide edict about domestic authority; imperial power reduced to legislating household honor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Imperial Glory on Display: The Theater of Ahasuerus</w:t>
            </w:r>
          </w:p>
        </w:tc>
      </w:tr>
      <w:tr>
        <w:tc>
          <w:tcPr/>
          <w:p>
            <w:pPr>
              <w:pStyle w:val="Compact"/>
            </w:pPr>
            <w:r>
              <w:t xml:space="preserve">2</w:t>
            </w:r>
          </w:p>
        </w:tc>
        <w:tc>
          <w:tcPr/>
          <w:p>
            <w:pPr>
              <w:pStyle w:val="Compact"/>
            </w:pPr>
            <w:r>
              <w:t xml:space="preserve">5–9</w:t>
            </w:r>
          </w:p>
        </w:tc>
        <w:tc>
          <w:tcPr/>
          <w:p>
            <w:pPr>
              <w:pStyle w:val="Compact"/>
            </w:pPr>
            <w:r>
              <w:t xml:space="preserve">The Banquet Without Restraint</w:t>
            </w:r>
          </w:p>
        </w:tc>
      </w:tr>
      <w:tr>
        <w:tc>
          <w:tcPr/>
          <w:p>
            <w:pPr>
              <w:pStyle w:val="Compact"/>
            </w:pPr>
            <w:r>
              <w:t xml:space="preserve">3</w:t>
            </w:r>
          </w:p>
        </w:tc>
        <w:tc>
          <w:tcPr/>
          <w:p>
            <w:pPr>
              <w:pStyle w:val="Compact"/>
            </w:pPr>
            <w:r>
              <w:t xml:space="preserve">10–12</w:t>
            </w:r>
          </w:p>
        </w:tc>
        <w:tc>
          <w:tcPr/>
          <w:p>
            <w:pPr>
              <w:pStyle w:val="Compact"/>
            </w:pPr>
            <w:r>
              <w:t xml:space="preserve">The Refusal: Power Meets Its Match at Home</w:t>
            </w:r>
          </w:p>
        </w:tc>
      </w:tr>
      <w:tr>
        <w:tc>
          <w:tcPr/>
          <w:p>
            <w:pPr>
              <w:pStyle w:val="Compact"/>
            </w:pPr>
            <w:r>
              <w:t xml:space="preserve">4</w:t>
            </w:r>
          </w:p>
        </w:tc>
        <w:tc>
          <w:tcPr/>
          <w:p>
            <w:pPr>
              <w:pStyle w:val="Compact"/>
            </w:pPr>
            <w:r>
              <w:t xml:space="preserve">13–20</w:t>
            </w:r>
          </w:p>
        </w:tc>
        <w:tc>
          <w:tcPr/>
          <w:p>
            <w:pPr>
              <w:pStyle w:val="Compact"/>
            </w:pPr>
            <w:r>
              <w:t xml:space="preserve">The Counsel of Fear: Advisors Managing a King They Govern</w:t>
            </w:r>
          </w:p>
        </w:tc>
      </w:tr>
      <w:tr>
        <w:tc>
          <w:tcPr/>
          <w:p>
            <w:pPr>
              <w:pStyle w:val="Compact"/>
            </w:pPr>
            <w:r>
              <w:t xml:space="preserve">5</w:t>
            </w:r>
          </w:p>
        </w:tc>
        <w:tc>
          <w:tcPr/>
          <w:p>
            <w:pPr>
              <w:pStyle w:val="Compact"/>
            </w:pPr>
            <w:r>
              <w:t xml:space="preserve">21–22</w:t>
            </w:r>
          </w:p>
        </w:tc>
        <w:tc>
          <w:tcPr/>
          <w:p>
            <w:pPr>
              <w:pStyle w:val="Compact"/>
            </w:pPr>
            <w:r>
              <w:t xml:space="preserve">The Edict: An Empire Legislating Its Own Insecurity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Human power at its peak reveals its own absurdity and instability.</w:t>
      </w:r>
    </w:p>
    <w:p>
      <w:pPr>
        <w:pStyle w:val="BodyText"/>
      </w:pPr>
      <w:r>
        <w:rPr>
          <w:b/>
          <w:bCs/>
        </w:rPr>
        <w:t xml:space="preserve">Primary Claim:</w:t>
      </w:r>
      <w:r>
        <w:t xml:space="preserve"> </w:t>
      </w:r>
      <w:r>
        <w:t xml:space="preserve">God opens the story of Esther by exposing the hollow theater of human sovereignty — the most powerful man on earth is enslaved to pride, wine, and fear — so that when His own hidden sovereignty moves, the contrast is unmistakable and the reader knows where true power lives.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Recalibrate where you locate power and stability.</w:t>
      </w:r>
      <w:r>
        <w:t xml:space="preserve"> </w:t>
      </w:r>
      <w:r>
        <w:t xml:space="preserve">The chapter invites the reader to audit the authorities they have trusted for safety, provision, or justice. Ahasuerus commanded 127 provinces, held armies, dispensed wealth without limit — and could not govern his own dinner table. Whatever institution, leader, or system you have been treating as load-bearing — government, employer, financial security, social influence — Esther 1 tells you it is running on wine and pride and the fear of embarrassment. The hidden God of Esther is not absent; He is unmentioned because the world of Susa doesn’t know to look for Him. The application is not cynicism about human institutions but realism: do not build your life on thrones that cannot stand.</w:t>
      </w:r>
    </w:p>
    <w:p>
      <w:pPr>
        <w:pStyle w:val="BodyText"/>
      </w:pPr>
      <w:r>
        <w:rPr>
          <w:b/>
          <w:bCs/>
        </w:rPr>
        <w:t xml:space="preserve">2. [Affections/Worship] — Feel the exposure of pride as mercy, not attack.</w:t>
      </w:r>
      <w:r>
        <w:t xml:space="preserve"> </w:t>
      </w:r>
      <w:r>
        <w:t xml:space="preserve">Ahasuerus’s exposure is not presented as cruel — it is almost gentle in its comedy. The most powerful man in the world is undone not by a foreign army but by a refusal at a dinner party. God does not need dramatic instruments to humble the proud. The reader who has built their identity on status, appearance, professional achievement, or the ability to command respect from others should feel the gentle comedy of this chapter as a grace:</w:t>
      </w:r>
      <w:r>
        <w:t xml:space="preserve"> </w:t>
      </w:r>
      <w:r>
        <w:rPr>
          <w:i/>
          <w:iCs/>
        </w:rPr>
        <w:t xml:space="preserve">your pride will not hold, and God is kind enough to show you before it collapses catastrophically.</w:t>
      </w:r>
      <w:r>
        <w:t xml:space="preserve"> </w:t>
      </w:r>
      <w:r>
        <w:t xml:space="preserve">The invitation is not shame but worship — the God who is sovereign over Persian kings is sovereign over the smaller empires of your own pride.</w:t>
      </w:r>
    </w:p>
    <w:p>
      <w:pPr>
        <w:pStyle w:val="BodyText"/>
      </w:pPr>
      <w:r>
        <w:rPr>
          <w:b/>
          <w:bCs/>
        </w:rPr>
        <w:t xml:space="preserve">3. [Will/Behavior] — Stop issuing empire-wide edicts to manage what threatens your honor.</w:t>
      </w:r>
      <w:r>
        <w:t xml:space="preserve"> </w:t>
      </w:r>
      <w:r>
        <w:t xml:space="preserve">The edict of verses 21–22 is the chapter’s sharpest application point: when Ahasuerus felt humiliated, he reached for control rather than self-examination. He drafted policy to enforce what he could not command organically. Wherever you are writing your own version of that edict — drawing hard lines, issuing ultimatums, managing relationships through rules and requirements because you cannot bear the vulnerability of not being respected — Esther 1 names that pattern. The application is specific: identify one place where you have responded to humiliation or threat with control rather than self-examination, and bring that pattern to God in repentance.</w:t>
      </w:r>
    </w:p>
    <w:p>
      <w:pPr>
        <w:pStyle w:val="BodyText"/>
      </w:pPr>
      <w:r>
        <w:rPr>
          <w:b/>
          <w:bCs/>
        </w:rPr>
        <w:t xml:space="preserve">4. [Mind/Belief] — The hiddenness of God is not the absence of God.</w:t>
      </w:r>
      <w:r>
        <w:t xml:space="preserve"> </w:t>
      </w:r>
      <w:r>
        <w:t xml:space="preserve">The most theologically disorienting feature of Esther 1 for the attentive reader is that God is nowhere in the text. There is no prayer, no prophetic word, no divine intervention, no narrator’s comment connecting events to providence. For the reader going through a season in which God feels absent — prayers unanswered, circumstances chaotic, no visible evidence of divine care — Esther 1 is not a problem but a promise. The entire book of Esther is about what God does in a world that cannot see Him. The chapter that opens with His absence ends with the setup for His most intricate act of preservation. God’s silence in your circumstances is not His withdrawal from them.</w:t>
      </w:r>
    </w:p>
    <w:p>
      <w:pPr>
        <w:pStyle w:val="BodyText"/>
      </w:pPr>
      <w:r>
        <w:rPr>
          <w:b/>
          <w:bCs/>
        </w:rPr>
        <w:t xml:space="preserve">5. [Affections/Worship] — Grieve the beauty of Vashti’s vanishing as a picture of what human power does to people.</w:t>
      </w:r>
      <w:r>
        <w:t xml:space="preserve"> </w:t>
      </w:r>
      <w:r>
        <w:t xml:space="preserve">Vashti is introduced in verse 9, refuses in verse 12, is legislated against in verses 19–20, and never appears again. The most powerful empire in the world reduces a person to a legal category and an absence. This should produce grief, not just analysis. Human power without God does not merely fail in the abstract — it discards people, erases them from the record, and writes edicts over their graves. The gospel’s answer to this pattern is not social reform (though that may follow) but the God who sees the Vasthi of every court, who does not write irrevocable edicts of dismissal, and who will — through the hidden movements of the story still to come — preserve His people in the very empire that forgot them.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Esther 1 establishes a fundamental theological conviction that runs through the entire book: God is sovereign over the powerful of the earth, and that sovereignty operates even — especially — where God is not visible or acknowledged. The chapter teaches that human power is structurally self-defeating: it requires display (180 days of banquets), it is governed by fear of shame (Memucan’s counsel), it cannot restrain itself (wine without limit), and it reaches for control when it is threatened (empire-wide edicts). This is not incidental but revelatory — it shows what power looks like when it is not submitted to God. Ahasuerus is not presented as uniquely wicked; he is presented as paradigmatic. Every throne that forgets God ends up issuing household management policy while the real movements of history are being shaped by a Providence they cannot see or govern.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doctrine of providence finds one of its most literary expressions in the book of Esther, and Esther 1 is its opening frame. God’s sovereignty is not diminished by hiddenness — it is displayed through it. The chapter establishes the ground condition that makes the rest of the book’s theological argument possible: a world that has forgotten God is still a world God governs. This is not deism (a God who winds the clock and withdraws) but active, purposeful governance operating through the decisions of proud and foolish kings in ways they cannot perceive. The Reformed tradition has always insisted that providence extends to the seemingly trivial — the king’s insomnia in chapter 6, the queen’s uncalled appearance before the throne, the gallows built for the wrong man — and Esther 1’s elaborate banquet-and-refusal machinery is the first instance of this: a domestic humiliation that will, through a chain of hidden causation, position a Jewish girl to save her people. The gospel resonance is deep: God does His most significant saving work through events that look, from the inside, like absurdity, accident, and abandonment.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most powerful man in the world could not govern his own banquet, could not command his own wife, and had to draft a law to protect his dignity. This is what power looks like without God — spectacular, brittle, and ultimately comic. But the God who is not mentioned in this chapter is not absent from it. He was already moving. He is already moving in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Vashti into a feminist hero and losing the passage’s actual claim.</w:t>
      </w:r>
      <w:r>
        <w:t xml:space="preserve"> </w:t>
      </w:r>
      <w:r>
        <w:t xml:space="preserve">The temptation — especially in contemporary contexts — is to spend the sermon rehabilitating Vashti as a courageous woman refusing objectification, turning the passage into a text about dignity and women’s rights. This is not wrong to acknowledge, but it is not the passage’s claim. Vashti vanishes from the text permanently after verse 20. She is a narrative catalyst, not a protagonist. A sermon that ends on Vashti has not preached Esther 1 — it has imported a contemporary concern into an ancient text that is trying to say something different and more fundamental about where power lives.</w:t>
      </w:r>
    </w:p>
    <w:p>
      <w:pPr>
        <w:numPr>
          <w:ilvl w:val="0"/>
          <w:numId w:val="1002"/>
        </w:numPr>
      </w:pPr>
      <w:r>
        <w:rPr>
          <w:b/>
          <w:bCs/>
        </w:rPr>
        <w:t xml:space="preserve">Preaching God’s absence as a problem to be solved rather than a theological claim to be heard.</w:t>
      </w:r>
      <w:r>
        <w:t xml:space="preserve"> </w:t>
      </w:r>
      <w:r>
        <w:t xml:space="preserve">Many expositors, uncomfortable with God’s non-appearance in Esther, rush to reassure congregations that</w:t>
      </w:r>
      <w:r>
        <w:t xml:space="preserve"> </w:t>
      </w:r>
      <w:r>
        <w:t xml:space="preserve">“God is really there”</w:t>
      </w:r>
      <w:r>
        <w:t xml:space="preserve"> </w:t>
      </w:r>
      <w:r>
        <w:t xml:space="preserve">without letting the silence do its work. The absence of God in the text is not a pastoral problem — it is a theological feature. Let the silence land. The congregation that sits with</w:t>
      </w:r>
      <w:r>
        <w:t xml:space="preserve"> </w:t>
      </w:r>
      <w:r>
        <w:t xml:space="preserve">“God is not mentioned here”</w:t>
      </w:r>
      <w:r>
        <w:t xml:space="preserve"> </w:t>
      </w:r>
      <w:r>
        <w:t xml:space="preserve">and feels the discomfort is better positioned to hear the rest of the book than the congregation that is immediately reassured.</w:t>
      </w:r>
    </w:p>
    <w:p>
      <w:pPr>
        <w:numPr>
          <w:ilvl w:val="0"/>
          <w:numId w:val="1002"/>
        </w:numPr>
      </w:pPr>
      <w:r>
        <w:rPr>
          <w:b/>
          <w:bCs/>
        </w:rPr>
        <w:t xml:space="preserve">Moralistic application from Ahasuerus or Vashti (</w:t>
      </w:r>
      <w:r>
        <w:rPr>
          <w:b/>
          <w:bCs/>
        </w:rPr>
        <w:t xml:space="preserve">“don’t be like Ahasuerus; be like Vashti”</w:t>
      </w:r>
      <w:r>
        <w:rPr>
          <w:b/>
          <w:bCs/>
        </w:rPr>
        <w:t xml:space="preserve">).</w:t>
      </w:r>
      <w:r>
        <w:t xml:space="preserve"> </w:t>
      </w:r>
      <w:r>
        <w:t xml:space="preserve">The anti-moralism principle is directly relevant here. If the sermon’s take-home is</w:t>
      </w:r>
      <w:r>
        <w:t xml:space="preserve"> </w:t>
      </w:r>
      <w:r>
        <w:t xml:space="preserve">“don’t let pride govern your decisions”</w:t>
      </w:r>
      <w:r>
        <w:t xml:space="preserve"> </w:t>
      </w:r>
      <w:r>
        <w:t xml:space="preserve">or</w:t>
      </w:r>
      <w:r>
        <w:t xml:space="preserve"> </w:t>
      </w:r>
      <w:r>
        <w:t xml:space="preserve">“stand up to unjust authority like Vashti,”</w:t>
      </w:r>
      <w:r>
        <w:t xml:space="preserve"> </w:t>
      </w:r>
      <w:r>
        <w:t xml:space="preserve">the passage has been reduced to an ethics lesson extracted from characters who are not presented as moral models. The point is not the behavior of Ahasuerus or Vashti — it is the structural exposure of what human power looks like without God, and the implicit claim that there is another kind of power operating beneath the surface of these events.</w:t>
      </w:r>
    </w:p>
    <w:p>
      <w:pPr>
        <w:numPr>
          <w:ilvl w:val="0"/>
          <w:numId w:val="1002"/>
        </w:numPr>
      </w:pPr>
      <w:r>
        <w:rPr>
          <w:b/>
          <w:bCs/>
        </w:rPr>
        <w:t xml:space="preserve">Treating the chapter as mere narrative setup and rushing past it to</w:t>
      </w:r>
      <w:r>
        <w:rPr>
          <w:b/>
          <w:bCs/>
        </w:rPr>
        <w:t xml:space="preserve"> </w:t>
      </w:r>
      <w:r>
        <w:rPr>
          <w:b/>
          <w:bCs/>
        </w:rPr>
        <w:t xml:space="preserve">“the real story.”</w:t>
      </w:r>
      <w:r>
        <w:t xml:space="preserve"> </w:t>
      </w:r>
      <w:r>
        <w:t xml:space="preserve">Esther 1 is sometimes treated as a lengthy preamble to be summarized quickly before getting to Esther and Mordecai. This misses the chapter’s theological load. The extended detail — 180 days of display, the specific inventory of luxury, the meticulous legal process around Vashti’s deposition — is not padding. It is argument. The extravagance itself is the point. The length of the banquet is the statement. Rushing past the detail is rushing past the claim.</w:t>
      </w:r>
    </w:p>
    <w:p>
      <w:pPr>
        <w:numPr>
          <w:ilvl w:val="0"/>
          <w:numId w:val="1002"/>
        </w:numPr>
      </w:pPr>
      <w:r>
        <w:rPr>
          <w:b/>
          <w:bCs/>
        </w:rPr>
        <w:t xml:space="preserve">Failing to connect the chapter’s irony to the congregation’s own experience of powerful institutions.</w:t>
      </w:r>
      <w:r>
        <w:t xml:space="preserve"> </w:t>
      </w:r>
      <w:r>
        <w:t xml:space="preserve">The chapter’s comedy is not merely historical. Every congregation contains people who have trusted powerful systems — employers, governments, financial institutions, church structures — that have proven brittle or self-serving. The chapter speaks directly to that experience, but only if the preacher names the connection. An application that stays at the level of</w:t>
      </w:r>
      <w:r>
        <w:t xml:space="preserve"> </w:t>
      </w:r>
      <w:r>
        <w:t xml:space="preserve">“the Persian court was proud”</w:t>
      </w:r>
      <w:r>
        <w:t xml:space="preserve"> </w:t>
      </w:r>
      <w:r>
        <w:t xml:space="preserve">without crossing into</w:t>
      </w:r>
      <w:r>
        <w:t xml:space="preserve"> </w:t>
      </w:r>
      <w:r>
        <w:t xml:space="preserve">“and here is what your version of that looks like”</w:t>
      </w:r>
      <w:r>
        <w:t xml:space="preserve"> </w:t>
      </w:r>
      <w:r>
        <w:t xml:space="preserve">has not completed the homiletical task.</w:t>
      </w:r>
    </w:p>
    <w:p>
      <w:pPr>
        <w:numPr>
          <w:ilvl w:val="0"/>
          <w:numId w:val="1002"/>
        </w:numPr>
      </w:pPr>
      <w:r>
        <w:rPr>
          <w:b/>
          <w:bCs/>
        </w:rPr>
        <w:t xml:space="preserve">Missing the setup function for the doctrine of providence.</w:t>
      </w:r>
      <w:r>
        <w:t xml:space="preserve"> </w:t>
      </w:r>
      <w:r>
        <w:t xml:space="preserve">Esther 1 is not self-contained as a theological claim — it is the opening frame of a book whose full argument is that God governs hidden. A preacher who does not at least gesture toward where the book is going has explained the theatrical backdrop without telling the audience there is a play. The pitfall is treating the chapter’s exposure of human power as the whole message, when it is actually the frame that makes the message legible. Point forward:</w:t>
      </w:r>
      <w:r>
        <w:t xml:space="preserve"> </w:t>
      </w:r>
      <w:r>
        <w:rPr>
          <w:i/>
          <w:iCs/>
        </w:rPr>
        <w:t xml:space="preserve">watch what happens when the God who is not here begins to move.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2026-07-14T21:03:47Z</dcterms:created>
  <dcterms:modified xsi:type="dcterms:W3CDTF">2026-07-14T21:03:47Z</dcterms:modified>
</cp:coreProperties>
</file>

<file path=docProps/custom.xml><?xml version="1.0" encoding="utf-8"?>
<Properties xmlns="http://schemas.openxmlformats.org/officeDocument/2006/custom-properties" xmlns:vt="http://schemas.openxmlformats.org/officeDocument/2006/docPropsVTypes"/>
</file>